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AC" w:rsidRDefault="00252CAC" w:rsidP="00252CAC">
      <w:pPr>
        <w:spacing w:line="360" w:lineRule="auto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附件1：</w:t>
      </w:r>
    </w:p>
    <w:p w:rsidR="00252CAC" w:rsidRDefault="00252CAC" w:rsidP="00252CAC">
      <w:pPr>
        <w:spacing w:line="360" w:lineRule="auto"/>
        <w:jc w:val="center"/>
        <w:rPr>
          <w:rFonts w:ascii="宋体" w:cs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案例类型选题参考</w:t>
      </w:r>
    </w:p>
    <w:bookmarkEnd w:id="0"/>
    <w:p w:rsidR="00252CAC" w:rsidRDefault="00252CAC" w:rsidP="00252CAC">
      <w:pPr>
        <w:spacing w:line="360" w:lineRule="auto"/>
        <w:ind w:firstLineChars="200" w:firstLine="643"/>
        <w:rPr>
          <w:rFonts w:ascii="仿宋_GB2312" w:eastAsia="仿宋_GB2312" w:hAnsi="仿宋" w:hint="eastAsia"/>
          <w:b/>
          <w:bCs/>
          <w:sz w:val="32"/>
          <w:szCs w:val="32"/>
        </w:rPr>
      </w:pPr>
    </w:p>
    <w:p w:rsidR="00252CAC" w:rsidRDefault="00252CAC" w:rsidP="00252CAC">
      <w:pPr>
        <w:spacing w:line="360" w:lineRule="auto"/>
        <w:ind w:firstLineChars="200" w:firstLine="643"/>
        <w:rPr>
          <w:rFonts w:ascii="黑体" w:eastAsia="黑体" w:hAnsi="仿宋" w:hint="eastAsia"/>
          <w:b/>
          <w:bCs/>
          <w:sz w:val="32"/>
          <w:szCs w:val="32"/>
        </w:rPr>
      </w:pPr>
      <w:r>
        <w:rPr>
          <w:rFonts w:ascii="黑体" w:eastAsia="黑体" w:hAnsi="仿宋" w:cs="黑体" w:hint="eastAsia"/>
          <w:b/>
          <w:bCs/>
          <w:sz w:val="32"/>
          <w:szCs w:val="32"/>
        </w:rPr>
        <w:t>一、财务报表审计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（一）长期股权投资控制和重大影响的判断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（二）企业合并中或有对价的计量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（三）收入总额法和净额法的确认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（四）BOT合同的收入确认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（五）股份支付的确认和计量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（六）合并报表合并范围的确认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（七）高校年度审计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（八）医疗机构年度审计</w:t>
      </w:r>
    </w:p>
    <w:p w:rsidR="00252CAC" w:rsidRDefault="00252CAC" w:rsidP="00252CAC">
      <w:pPr>
        <w:spacing w:line="360" w:lineRule="auto"/>
        <w:ind w:firstLineChars="200" w:firstLine="643"/>
        <w:rPr>
          <w:rFonts w:ascii="黑体" w:eastAsia="黑体" w:hAnsi="仿宋" w:cs="黑体" w:hint="eastAsia"/>
          <w:b/>
          <w:bCs/>
          <w:sz w:val="32"/>
          <w:szCs w:val="32"/>
        </w:rPr>
      </w:pPr>
      <w:r>
        <w:rPr>
          <w:rFonts w:ascii="黑体" w:eastAsia="黑体" w:hAnsi="仿宋" w:cs="黑体" w:hint="eastAsia"/>
          <w:b/>
          <w:bCs/>
          <w:sz w:val="32"/>
          <w:szCs w:val="32"/>
        </w:rPr>
        <w:t xml:space="preserve">二、专项审计  </w:t>
      </w:r>
    </w:p>
    <w:p w:rsidR="00252CAC" w:rsidRDefault="00252CAC" w:rsidP="00252CAC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（一）地方财政收支审计（绩效） 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（二）部门预算执行审计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（三）海关核查稽查审计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（四）国有资本金经营预算审计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（五）固定资产投资审计（绩效）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（六）农村综合开发资金审计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（七）节能减排专项审计调查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（八）清产核资专项审计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（九）财政专项资金审计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（十）财政支出绩效评价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（十一）清算审计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（十二）高新技术企业认定针对研究开发费用结构明细表专项审计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（十三）高新技术企业认定针对高新技术产品（服务）收入明细表的审计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（十四）基本建设工程财务竣工决算专项审计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（十五）内部控制专项审计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（十六）“三去一降一补”审计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（十七）大气污染防治审计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黑体" w:eastAsia="黑体" w:hAnsi="仿宋" w:hint="eastAsia"/>
          <w:b/>
          <w:bCs/>
          <w:sz w:val="32"/>
          <w:szCs w:val="32"/>
        </w:rPr>
      </w:pPr>
      <w:r>
        <w:rPr>
          <w:rFonts w:ascii="黑体" w:eastAsia="黑体" w:hAnsi="仿宋" w:cs="黑体" w:hint="eastAsia"/>
          <w:b/>
          <w:bCs/>
          <w:sz w:val="32"/>
          <w:szCs w:val="32"/>
        </w:rPr>
        <w:t>三、其他专项审计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（一）B2C电子商务审计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（二）人工智能化审计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（三）大数据审计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（四）互联网金融审计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（五）投资移民审计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（六）资产证券化审计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（七）PPP业务审计</w:t>
      </w:r>
    </w:p>
    <w:p w:rsidR="00252CAC" w:rsidRDefault="00252CAC" w:rsidP="00252CAC">
      <w:pPr>
        <w:spacing w:line="360" w:lineRule="auto"/>
        <w:ind w:left="56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（八）网络游戏审计</w:t>
      </w:r>
    </w:p>
    <w:p w:rsidR="00252CAC" w:rsidRDefault="00252CAC" w:rsidP="00252CAC">
      <w:pPr>
        <w:spacing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（九）互联网教育审计</w:t>
      </w:r>
    </w:p>
    <w:p w:rsidR="00252CAC" w:rsidRDefault="00252CAC" w:rsidP="00252CAC">
      <w:pPr>
        <w:spacing w:line="600" w:lineRule="auto"/>
        <w:jc w:val="center"/>
        <w:rPr>
          <w:rFonts w:hint="eastAsia"/>
          <w:szCs w:val="21"/>
        </w:rPr>
      </w:pPr>
    </w:p>
    <w:p w:rsidR="008D067F" w:rsidRPr="00252CAC" w:rsidRDefault="008D067F"/>
    <w:sectPr w:rsidR="008D067F" w:rsidRPr="00252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AC"/>
    <w:rsid w:val="00252CAC"/>
    <w:rsid w:val="008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1</cp:revision>
  <dcterms:created xsi:type="dcterms:W3CDTF">2017-05-19T00:34:00Z</dcterms:created>
  <dcterms:modified xsi:type="dcterms:W3CDTF">2017-05-19T00:35:00Z</dcterms:modified>
</cp:coreProperties>
</file>